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46456B" w:rsidRDefault="0046456B" w:rsidP="00741B68">
      <w:pPr>
        <w:spacing w:after="120" w:line="240" w:lineRule="auto"/>
        <w:jc w:val="center"/>
        <w:rPr>
          <w:rFonts w:ascii="Tahoma" w:hAnsi="Tahoma" w:cs="Tahoma"/>
          <w:b/>
          <w:spacing w:val="20"/>
          <w:sz w:val="32"/>
          <w:szCs w:val="32"/>
        </w:rPr>
      </w:pPr>
    </w:p>
    <w:p w:rsidR="00A06A24" w:rsidRDefault="00A06A24" w:rsidP="00741B68">
      <w:pPr>
        <w:spacing w:after="120" w:line="240" w:lineRule="auto"/>
        <w:jc w:val="center"/>
        <w:rPr>
          <w:rFonts w:ascii="Tahoma" w:hAnsi="Tahoma" w:cs="Tahoma"/>
          <w:b/>
          <w:spacing w:val="20"/>
          <w:sz w:val="32"/>
          <w:szCs w:val="32"/>
        </w:rPr>
      </w:pPr>
      <w:r w:rsidRPr="00A06A24">
        <w:rPr>
          <w:rFonts w:ascii="Tahoma" w:hAnsi="Tahoma" w:cs="Tahoma"/>
          <w:b/>
          <w:spacing w:val="20"/>
          <w:sz w:val="32"/>
          <w:szCs w:val="32"/>
        </w:rPr>
        <w:t>GASB 77</w:t>
      </w:r>
    </w:p>
    <w:p w:rsidR="00741B68" w:rsidRPr="00A06A24" w:rsidRDefault="00741B68" w:rsidP="00A06A24">
      <w:pPr>
        <w:spacing w:after="0" w:line="240" w:lineRule="auto"/>
        <w:jc w:val="center"/>
        <w:rPr>
          <w:rFonts w:ascii="Tahoma" w:hAnsi="Tahoma" w:cs="Tahoma"/>
          <w:b/>
          <w:spacing w:val="20"/>
          <w:sz w:val="32"/>
          <w:szCs w:val="32"/>
        </w:rPr>
      </w:pPr>
      <w:r>
        <w:rPr>
          <w:rFonts w:ascii="Tahoma" w:hAnsi="Tahoma" w:cs="Tahoma"/>
          <w:b/>
          <w:spacing w:val="20"/>
          <w:sz w:val="32"/>
          <w:szCs w:val="32"/>
        </w:rPr>
        <w:t>20</w:t>
      </w:r>
      <w:r w:rsidR="00CE7115">
        <w:rPr>
          <w:rFonts w:ascii="Tahoma" w:hAnsi="Tahoma" w:cs="Tahoma"/>
          <w:b/>
          <w:spacing w:val="20"/>
          <w:sz w:val="32"/>
          <w:szCs w:val="32"/>
        </w:rPr>
        <w:t>2</w:t>
      </w:r>
      <w:r w:rsidR="00BD6590">
        <w:rPr>
          <w:rFonts w:ascii="Tahoma" w:hAnsi="Tahoma" w:cs="Tahoma"/>
          <w:b/>
          <w:spacing w:val="20"/>
          <w:sz w:val="32"/>
          <w:szCs w:val="32"/>
        </w:rPr>
        <w:t>1</w:t>
      </w:r>
      <w:r>
        <w:rPr>
          <w:rFonts w:ascii="Tahoma" w:hAnsi="Tahoma" w:cs="Tahoma"/>
          <w:b/>
          <w:spacing w:val="20"/>
          <w:sz w:val="32"/>
          <w:szCs w:val="32"/>
        </w:rPr>
        <w:t>-</w:t>
      </w:r>
      <w:r w:rsidR="001A5033">
        <w:rPr>
          <w:rFonts w:ascii="Tahoma" w:hAnsi="Tahoma" w:cs="Tahoma"/>
          <w:b/>
          <w:spacing w:val="20"/>
          <w:sz w:val="32"/>
          <w:szCs w:val="32"/>
        </w:rPr>
        <w:t>2</w:t>
      </w:r>
      <w:r w:rsidR="00BD6590">
        <w:rPr>
          <w:rFonts w:ascii="Tahoma" w:hAnsi="Tahoma" w:cs="Tahoma"/>
          <w:b/>
          <w:spacing w:val="20"/>
          <w:sz w:val="32"/>
          <w:szCs w:val="32"/>
        </w:rPr>
        <w:t>2</w:t>
      </w:r>
      <w:r>
        <w:rPr>
          <w:rFonts w:ascii="Tahoma" w:hAnsi="Tahoma" w:cs="Tahoma"/>
          <w:b/>
          <w:spacing w:val="20"/>
          <w:sz w:val="32"/>
          <w:szCs w:val="32"/>
        </w:rPr>
        <w:t xml:space="preserve"> Tax Abatements</w:t>
      </w:r>
    </w:p>
    <w:p w:rsidR="00A06A24" w:rsidRPr="00204322" w:rsidRDefault="00A06A24" w:rsidP="00101E49">
      <w:pPr>
        <w:spacing w:after="0" w:line="240" w:lineRule="auto"/>
        <w:rPr>
          <w:rFonts w:ascii="Arial" w:hAnsi="Arial" w:cs="Arial"/>
          <w:sz w:val="56"/>
          <w:szCs w:val="40"/>
        </w:rPr>
      </w:pPr>
    </w:p>
    <w:p w:rsidR="00AB3211" w:rsidRDefault="00C40BFC" w:rsidP="00101E49">
      <w:pPr>
        <w:spacing w:after="0" w:line="240" w:lineRule="auto"/>
        <w:rPr>
          <w:rFonts w:ascii="Arial" w:hAnsi="Arial" w:cs="Arial"/>
        </w:rPr>
      </w:pPr>
      <w:r w:rsidRPr="00AB3211">
        <w:rPr>
          <w:rFonts w:ascii="Arial" w:hAnsi="Arial" w:cs="Arial"/>
        </w:rPr>
        <w:t xml:space="preserve">GASB Statement 77 </w:t>
      </w:r>
      <w:r w:rsidRPr="00C40BFC">
        <w:rPr>
          <w:rFonts w:ascii="Arial" w:hAnsi="Arial" w:cs="Arial"/>
        </w:rPr>
        <w:t xml:space="preserve">requires </w:t>
      </w:r>
      <w:r w:rsidR="00AB3211" w:rsidRPr="00AB3211">
        <w:rPr>
          <w:rFonts w:ascii="Arial" w:hAnsi="Arial" w:cs="Arial"/>
        </w:rPr>
        <w:t>disclosure of tax abatement information about (1) a reporting government’s own tax abatement agreements and (2) those that are entered into by other governments and that reduce the reporting government’s tax revenues.</w:t>
      </w:r>
      <w:r w:rsidR="00C878EC">
        <w:rPr>
          <w:rFonts w:ascii="Arial" w:hAnsi="Arial" w:cs="Arial"/>
        </w:rPr>
        <w:t xml:space="preserve">  GASB 77 requirements are </w:t>
      </w:r>
      <w:r w:rsidR="00C878EC" w:rsidRPr="00AB3211">
        <w:rPr>
          <w:rFonts w:ascii="Arial" w:hAnsi="Arial" w:cs="Arial"/>
        </w:rPr>
        <w:t>effective for financial statements for periods beginning after December 15, 2015.</w:t>
      </w:r>
    </w:p>
    <w:p w:rsidR="0072038A" w:rsidRDefault="0072038A" w:rsidP="00C878EC">
      <w:pPr>
        <w:spacing w:after="0" w:line="240" w:lineRule="auto"/>
        <w:rPr>
          <w:rFonts w:ascii="Arial" w:hAnsi="Arial" w:cs="Arial"/>
        </w:rPr>
      </w:pPr>
    </w:p>
    <w:p w:rsidR="0072038A" w:rsidRPr="00C878EC" w:rsidRDefault="0072038A" w:rsidP="0072038A">
      <w:pPr>
        <w:spacing w:after="0" w:line="240" w:lineRule="auto"/>
        <w:rPr>
          <w:rFonts w:ascii="Arial" w:hAnsi="Arial" w:cs="Arial"/>
          <w:sz w:val="20"/>
          <w:szCs w:val="20"/>
        </w:rPr>
      </w:pPr>
      <w:r w:rsidRPr="00C878EC">
        <w:rPr>
          <w:rFonts w:ascii="Arial" w:hAnsi="Arial" w:cs="Arial"/>
          <w:sz w:val="20"/>
          <w:szCs w:val="20"/>
        </w:rPr>
        <w:t xml:space="preserve">Please refer to </w:t>
      </w:r>
      <w:hyperlink r:id="rId5" w:history="1">
        <w:r w:rsidRPr="00C878EC">
          <w:rPr>
            <w:rStyle w:val="Hyperlink"/>
            <w:rFonts w:ascii="Arial" w:hAnsi="Arial" w:cs="Arial"/>
            <w:sz w:val="20"/>
            <w:szCs w:val="20"/>
          </w:rPr>
          <w:t>GASB 77 Summary</w:t>
        </w:r>
      </w:hyperlink>
      <w:r w:rsidRPr="00C878EC">
        <w:rPr>
          <w:rFonts w:ascii="Arial" w:hAnsi="Arial" w:cs="Arial"/>
          <w:sz w:val="20"/>
          <w:szCs w:val="20"/>
        </w:rPr>
        <w:t xml:space="preserve"> or </w:t>
      </w:r>
      <w:hyperlink r:id="rId6" w:history="1">
        <w:r w:rsidRPr="00C878EC">
          <w:rPr>
            <w:rStyle w:val="Hyperlink"/>
            <w:rFonts w:ascii="Arial" w:hAnsi="Arial" w:cs="Arial"/>
            <w:sz w:val="20"/>
            <w:szCs w:val="20"/>
          </w:rPr>
          <w:t>GASB 77 Full Text</w:t>
        </w:r>
      </w:hyperlink>
      <w:r w:rsidRPr="00C878EC">
        <w:rPr>
          <w:rFonts w:ascii="Arial" w:hAnsi="Arial" w:cs="Arial"/>
          <w:sz w:val="20"/>
          <w:szCs w:val="20"/>
        </w:rPr>
        <w:t xml:space="preserve"> for specific disclosure requirements.  </w:t>
      </w:r>
    </w:p>
    <w:p w:rsidR="00101E49" w:rsidRDefault="00101E49" w:rsidP="00C878EC">
      <w:pPr>
        <w:spacing w:after="0" w:line="240" w:lineRule="auto"/>
        <w:rPr>
          <w:rFonts w:ascii="Arial" w:hAnsi="Arial" w:cs="Arial"/>
        </w:rPr>
      </w:pPr>
    </w:p>
    <w:p w:rsidR="00C878EC" w:rsidRPr="00AB3211" w:rsidRDefault="00C878EC" w:rsidP="00C878EC">
      <w:pPr>
        <w:spacing w:after="0" w:line="240" w:lineRule="auto"/>
        <w:rPr>
          <w:rFonts w:ascii="Arial" w:hAnsi="Arial" w:cs="Arial"/>
        </w:rPr>
      </w:pPr>
      <w:r w:rsidRPr="00AB3211">
        <w:rPr>
          <w:rFonts w:ascii="Arial" w:hAnsi="Arial" w:cs="Arial"/>
        </w:rPr>
        <w:t xml:space="preserve">For the purposes of this report, </w:t>
      </w:r>
      <w:r w:rsidRPr="00AB3211">
        <w:rPr>
          <w:rFonts w:ascii="Arial" w:hAnsi="Arial" w:cs="Arial"/>
          <w:i/>
        </w:rPr>
        <w:t>Tax Abatements</w:t>
      </w:r>
      <w:r w:rsidRPr="00AB3211">
        <w:rPr>
          <w:rFonts w:ascii="Arial" w:hAnsi="Arial" w:cs="Arial"/>
        </w:rPr>
        <w:t xml:space="preserve"> are defined as resulting from an agreement between a government and an individual or entity in which the government promises to forgo tax revenues and the individual or entity promises to subsequently take a specific action that contributes to economic development or otherwise benefits the government or its citizens.</w:t>
      </w:r>
    </w:p>
    <w:p w:rsidR="00C878EC" w:rsidRDefault="00C878EC" w:rsidP="00871AD3">
      <w:pPr>
        <w:spacing w:after="120" w:line="240" w:lineRule="auto"/>
        <w:rPr>
          <w:rFonts w:ascii="Arial" w:hAnsi="Arial" w:cs="Arial"/>
        </w:rPr>
      </w:pPr>
    </w:p>
    <w:p w:rsidR="00101E49" w:rsidRPr="00AB3211" w:rsidRDefault="00101E49" w:rsidP="00101E49">
      <w:pPr>
        <w:spacing w:after="120" w:line="240" w:lineRule="auto"/>
        <w:rPr>
          <w:rFonts w:ascii="Arial" w:hAnsi="Arial" w:cs="Arial"/>
        </w:rPr>
      </w:pPr>
      <w:r>
        <w:rPr>
          <w:rFonts w:ascii="Arial" w:hAnsi="Arial" w:cs="Arial"/>
        </w:rPr>
        <w:t>Of the programs identified, the following have properties in Lane County:</w:t>
      </w:r>
    </w:p>
    <w:p w:rsidR="002E416C" w:rsidRDefault="002E416C" w:rsidP="004668EC">
      <w:pPr>
        <w:spacing w:after="80" w:line="240" w:lineRule="auto"/>
        <w:ind w:left="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E416C">
        <w:rPr>
          <w:rFonts w:ascii="Arial" w:hAnsi="Arial" w:cs="Arial"/>
          <w:u w:val="single"/>
        </w:rPr>
        <w:t>ORS</w:t>
      </w:r>
      <w:r w:rsidR="00A06A24">
        <w:rPr>
          <w:rFonts w:ascii="Arial" w:hAnsi="Arial" w:cs="Arial"/>
          <w:u w:val="single"/>
        </w:rPr>
        <w:t>*</w:t>
      </w:r>
      <w:r>
        <w:rPr>
          <w:rFonts w:ascii="Arial" w:hAnsi="Arial" w:cs="Arial"/>
        </w:rPr>
        <w:tab/>
      </w:r>
      <w:r>
        <w:rPr>
          <w:rFonts w:ascii="Arial" w:hAnsi="Arial" w:cs="Arial"/>
        </w:rPr>
        <w:tab/>
      </w:r>
      <w:r w:rsidRPr="002E416C">
        <w:rPr>
          <w:rFonts w:ascii="Arial" w:hAnsi="Arial" w:cs="Arial"/>
          <w:u w:val="single"/>
        </w:rPr>
        <w:t>Tax Expenditure R</w:t>
      </w:r>
      <w:r w:rsidR="004668EC">
        <w:rPr>
          <w:rFonts w:ascii="Arial" w:hAnsi="Arial" w:cs="Arial"/>
          <w:u w:val="single"/>
        </w:rPr>
        <w:t>e</w:t>
      </w:r>
      <w:r w:rsidRPr="002E416C">
        <w:rPr>
          <w:rFonts w:ascii="Arial" w:hAnsi="Arial" w:cs="Arial"/>
          <w:u w:val="single"/>
        </w:rPr>
        <w:t>p</w:t>
      </w:r>
      <w:r w:rsidR="004668EC">
        <w:rPr>
          <w:rFonts w:ascii="Arial" w:hAnsi="Arial" w:cs="Arial"/>
          <w:u w:val="single"/>
        </w:rPr>
        <w:t>or</w:t>
      </w:r>
      <w:r w:rsidRPr="002E416C">
        <w:rPr>
          <w:rFonts w:ascii="Arial" w:hAnsi="Arial" w:cs="Arial"/>
          <w:u w:val="single"/>
        </w:rPr>
        <w:t>t</w:t>
      </w:r>
      <w:r w:rsidR="00A06A24">
        <w:rPr>
          <w:rFonts w:ascii="Arial" w:hAnsi="Arial" w:cs="Arial"/>
          <w:u w:val="single"/>
        </w:rPr>
        <w:t>**</w:t>
      </w:r>
    </w:p>
    <w:p w:rsidR="00101E49" w:rsidRPr="002E416C" w:rsidRDefault="00101E49" w:rsidP="004668EC">
      <w:pPr>
        <w:spacing w:after="80" w:line="240" w:lineRule="auto"/>
        <w:ind w:left="180"/>
        <w:rPr>
          <w:rStyle w:val="Hyperlink"/>
          <w:rFonts w:ascii="Arial" w:hAnsi="Arial" w:cs="Arial"/>
          <w:u w:val="none"/>
        </w:rPr>
      </w:pPr>
      <w:r>
        <w:rPr>
          <w:rFonts w:ascii="Arial" w:hAnsi="Arial" w:cs="Arial"/>
        </w:rPr>
        <w:t>Enterprise Zone</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7" w:history="1">
        <w:r w:rsidRPr="007F6631">
          <w:rPr>
            <w:rStyle w:val="Hyperlink"/>
            <w:rFonts w:ascii="Arial" w:hAnsi="Arial" w:cs="Arial"/>
          </w:rPr>
          <w:t>Chapter 285C</w:t>
        </w:r>
      </w:hyperlink>
      <w:r w:rsidR="002E416C">
        <w:rPr>
          <w:rStyle w:val="Hyperlink"/>
          <w:rFonts w:ascii="Arial" w:hAnsi="Arial" w:cs="Arial"/>
          <w:u w:val="none"/>
        </w:rPr>
        <w:tab/>
      </w:r>
      <w:r w:rsidR="002E416C">
        <w:rPr>
          <w:rStyle w:val="Hyperlink"/>
          <w:rFonts w:ascii="Arial" w:hAnsi="Arial" w:cs="Arial"/>
          <w:u w:val="none"/>
        </w:rPr>
        <w:tab/>
      </w:r>
      <w:r w:rsidR="002E416C">
        <w:rPr>
          <w:rStyle w:val="Hyperlink"/>
          <w:rFonts w:ascii="Arial" w:hAnsi="Arial" w:cs="Arial"/>
          <w:u w:val="none"/>
        </w:rPr>
        <w:tab/>
      </w:r>
      <w:hyperlink r:id="rId8" w:history="1">
        <w:r w:rsidR="002E416C" w:rsidRPr="002E416C">
          <w:rPr>
            <w:rStyle w:val="Hyperlink"/>
            <w:rFonts w:ascii="Arial" w:hAnsi="Arial" w:cs="Arial"/>
          </w:rPr>
          <w:t>2.013</w:t>
        </w:r>
      </w:hyperlink>
    </w:p>
    <w:p w:rsidR="00101E49" w:rsidRPr="002E416C" w:rsidRDefault="00101E49" w:rsidP="004668EC">
      <w:pPr>
        <w:spacing w:after="80" w:line="240" w:lineRule="auto"/>
        <w:ind w:left="180"/>
        <w:rPr>
          <w:rStyle w:val="Hyperlink"/>
          <w:rFonts w:ascii="Arial" w:hAnsi="Arial" w:cs="Arial"/>
          <w:u w:val="none"/>
        </w:rPr>
      </w:pPr>
      <w:r w:rsidRPr="00DB282A">
        <w:rPr>
          <w:rFonts w:ascii="Arial" w:hAnsi="Arial" w:cs="Arial"/>
        </w:rPr>
        <w:t>Housing for Low Income Rental</w:t>
      </w:r>
      <w:r w:rsidR="002E416C">
        <w:rPr>
          <w:rFonts w:ascii="Arial" w:hAnsi="Arial" w:cs="Arial"/>
        </w:rPr>
        <w:tab/>
      </w:r>
      <w:r w:rsidRPr="00DB282A">
        <w:rPr>
          <w:rFonts w:ascii="Arial" w:hAnsi="Arial" w:cs="Arial"/>
        </w:rPr>
        <w:t xml:space="preserve"> </w:t>
      </w:r>
      <w:r w:rsidR="002E416C">
        <w:rPr>
          <w:rFonts w:ascii="Arial" w:hAnsi="Arial" w:cs="Arial"/>
        </w:rPr>
        <w:tab/>
      </w:r>
      <w:hyperlink r:id="rId9" w:history="1">
        <w:r w:rsidRPr="007F6631">
          <w:rPr>
            <w:rStyle w:val="Hyperlink"/>
            <w:rFonts w:ascii="Arial" w:hAnsi="Arial" w:cs="Arial"/>
          </w:rPr>
          <w:t>307.515 – 307.535</w:t>
        </w:r>
      </w:hyperlink>
      <w:r w:rsidR="002E416C">
        <w:rPr>
          <w:rStyle w:val="Hyperlink"/>
          <w:rFonts w:ascii="Arial" w:hAnsi="Arial" w:cs="Arial"/>
          <w:u w:val="none"/>
        </w:rPr>
        <w:tab/>
      </w:r>
      <w:r w:rsidR="002E416C">
        <w:rPr>
          <w:rStyle w:val="Hyperlink"/>
          <w:rFonts w:ascii="Arial" w:hAnsi="Arial" w:cs="Arial"/>
          <w:u w:val="none"/>
        </w:rPr>
        <w:tab/>
      </w:r>
      <w:hyperlink r:id="rId10" w:history="1">
        <w:r w:rsidR="002E416C" w:rsidRPr="002E416C">
          <w:rPr>
            <w:rStyle w:val="Hyperlink"/>
            <w:rFonts w:ascii="Arial" w:hAnsi="Arial" w:cs="Arial"/>
          </w:rPr>
          <w:t>2.110</w:t>
        </w:r>
      </w:hyperlink>
    </w:p>
    <w:p w:rsidR="00101E49" w:rsidRDefault="00101E49" w:rsidP="004668EC">
      <w:pPr>
        <w:spacing w:after="80" w:line="240" w:lineRule="auto"/>
        <w:ind w:left="180"/>
        <w:rPr>
          <w:rStyle w:val="Hyperlink"/>
          <w:rFonts w:ascii="Arial" w:hAnsi="Arial" w:cs="Arial"/>
        </w:rPr>
      </w:pPr>
      <w:r w:rsidRPr="00DB282A">
        <w:rPr>
          <w:rFonts w:ascii="Arial" w:hAnsi="Arial" w:cs="Arial"/>
        </w:rPr>
        <w:t xml:space="preserve">Housing; Multiple Unit in Core Areas </w:t>
      </w:r>
      <w:r w:rsidR="002E416C">
        <w:rPr>
          <w:rFonts w:ascii="Arial" w:hAnsi="Arial" w:cs="Arial"/>
        </w:rPr>
        <w:tab/>
      </w:r>
      <w:hyperlink r:id="rId11" w:history="1">
        <w:r w:rsidRPr="007F6631">
          <w:rPr>
            <w:rStyle w:val="Hyperlink"/>
            <w:rFonts w:ascii="Arial" w:hAnsi="Arial" w:cs="Arial"/>
          </w:rPr>
          <w:t>307.600 – 307.637</w:t>
        </w:r>
      </w:hyperlink>
      <w:r w:rsidR="002E416C">
        <w:rPr>
          <w:rStyle w:val="Hyperlink"/>
          <w:rFonts w:ascii="Arial" w:hAnsi="Arial" w:cs="Arial"/>
          <w:u w:val="none"/>
        </w:rPr>
        <w:tab/>
      </w:r>
      <w:r w:rsidR="002E416C">
        <w:rPr>
          <w:rStyle w:val="Hyperlink"/>
          <w:rFonts w:ascii="Arial" w:hAnsi="Arial" w:cs="Arial"/>
          <w:u w:val="none"/>
        </w:rPr>
        <w:tab/>
      </w:r>
      <w:hyperlink r:id="rId12" w:history="1">
        <w:r w:rsidR="002E416C" w:rsidRPr="002E416C">
          <w:rPr>
            <w:rStyle w:val="Hyperlink"/>
            <w:rFonts w:ascii="Arial" w:hAnsi="Arial" w:cs="Arial"/>
          </w:rPr>
          <w:t>2.108</w:t>
        </w:r>
      </w:hyperlink>
    </w:p>
    <w:p w:rsidR="00C100B4" w:rsidRPr="002E416C" w:rsidRDefault="00C100B4" w:rsidP="004668EC">
      <w:pPr>
        <w:spacing w:after="80" w:line="240" w:lineRule="auto"/>
        <w:ind w:left="180"/>
        <w:rPr>
          <w:rFonts w:ascii="Arial" w:hAnsi="Arial" w:cs="Arial"/>
        </w:rPr>
      </w:pPr>
      <w:r>
        <w:rPr>
          <w:rFonts w:ascii="Arial" w:hAnsi="Arial" w:cs="Arial"/>
        </w:rPr>
        <w:t>Nonprofit Corp Housing Assistance</w:t>
      </w:r>
      <w:r>
        <w:rPr>
          <w:rFonts w:ascii="Arial" w:hAnsi="Arial" w:cs="Arial"/>
        </w:rPr>
        <w:tab/>
      </w:r>
      <w:hyperlink r:id="rId13" w:history="1">
        <w:r w:rsidRPr="00C100B4">
          <w:rPr>
            <w:rStyle w:val="Hyperlink"/>
            <w:rFonts w:ascii="Arial" w:hAnsi="Arial" w:cs="Arial"/>
          </w:rPr>
          <w:t>307.241 to 307.245</w:t>
        </w:r>
      </w:hyperlink>
      <w:r w:rsidR="00421944">
        <w:rPr>
          <w:rFonts w:ascii="Arial" w:hAnsi="Arial" w:cs="Arial"/>
        </w:rPr>
        <w:tab/>
      </w:r>
      <w:r w:rsidR="00421944">
        <w:rPr>
          <w:rFonts w:ascii="Arial" w:hAnsi="Arial" w:cs="Arial"/>
        </w:rPr>
        <w:tab/>
      </w:r>
      <w:hyperlink r:id="rId14" w:history="1">
        <w:r w:rsidR="00421944" w:rsidRPr="002E416C">
          <w:rPr>
            <w:rStyle w:val="Hyperlink"/>
            <w:rFonts w:ascii="Arial" w:hAnsi="Arial" w:cs="Arial"/>
          </w:rPr>
          <w:t>2.</w:t>
        </w:r>
        <w:r w:rsidR="00421944">
          <w:rPr>
            <w:rStyle w:val="Hyperlink"/>
            <w:rFonts w:ascii="Arial" w:hAnsi="Arial" w:cs="Arial"/>
          </w:rPr>
          <w:t>026</w:t>
        </w:r>
      </w:hyperlink>
    </w:p>
    <w:p w:rsidR="00101E49" w:rsidRPr="002E416C" w:rsidRDefault="00101E49" w:rsidP="004668EC">
      <w:pPr>
        <w:spacing w:after="0" w:line="240" w:lineRule="auto"/>
        <w:ind w:left="180"/>
        <w:rPr>
          <w:rFonts w:ascii="Arial" w:hAnsi="Arial" w:cs="Arial"/>
        </w:rPr>
      </w:pPr>
      <w:r w:rsidRPr="00DB282A">
        <w:rPr>
          <w:rFonts w:ascii="Arial" w:hAnsi="Arial" w:cs="Arial"/>
        </w:rPr>
        <w:t>Vertical Housing</w:t>
      </w:r>
      <w:r w:rsidR="002E416C">
        <w:rPr>
          <w:rFonts w:ascii="Arial" w:hAnsi="Arial" w:cs="Arial"/>
        </w:rPr>
        <w:tab/>
      </w:r>
      <w:r w:rsidR="002E416C">
        <w:rPr>
          <w:rFonts w:ascii="Arial" w:hAnsi="Arial" w:cs="Arial"/>
        </w:rPr>
        <w:tab/>
      </w:r>
      <w:r w:rsidR="002E416C">
        <w:rPr>
          <w:rFonts w:ascii="Arial" w:hAnsi="Arial" w:cs="Arial"/>
        </w:rPr>
        <w:tab/>
      </w:r>
      <w:r w:rsidR="002E416C">
        <w:rPr>
          <w:rFonts w:ascii="Arial" w:hAnsi="Arial" w:cs="Arial"/>
        </w:rPr>
        <w:tab/>
      </w:r>
      <w:hyperlink r:id="rId15" w:history="1">
        <w:r w:rsidRPr="007F6631">
          <w:rPr>
            <w:rStyle w:val="Hyperlink"/>
            <w:rFonts w:ascii="Arial" w:hAnsi="Arial" w:cs="Arial"/>
          </w:rPr>
          <w:t>307.841 – 307.867</w:t>
        </w:r>
      </w:hyperlink>
      <w:r w:rsidR="002E416C">
        <w:rPr>
          <w:rStyle w:val="Hyperlink"/>
          <w:rFonts w:ascii="Arial" w:hAnsi="Arial" w:cs="Arial"/>
          <w:u w:val="none"/>
        </w:rPr>
        <w:t xml:space="preserve"> </w:t>
      </w:r>
      <w:r w:rsidR="002E416C">
        <w:rPr>
          <w:rStyle w:val="Hyperlink"/>
          <w:rFonts w:ascii="Arial" w:hAnsi="Arial" w:cs="Arial"/>
          <w:u w:val="none"/>
        </w:rPr>
        <w:tab/>
      </w:r>
      <w:r w:rsidR="002E416C">
        <w:rPr>
          <w:rStyle w:val="Hyperlink"/>
          <w:rFonts w:ascii="Arial" w:hAnsi="Arial" w:cs="Arial"/>
          <w:u w:val="none"/>
        </w:rPr>
        <w:tab/>
      </w:r>
      <w:hyperlink r:id="rId16" w:history="1">
        <w:r w:rsidR="002E416C" w:rsidRPr="002E416C">
          <w:rPr>
            <w:rStyle w:val="Hyperlink"/>
            <w:rFonts w:ascii="Arial" w:hAnsi="Arial" w:cs="Arial"/>
          </w:rPr>
          <w:t>2.105</w:t>
        </w:r>
      </w:hyperlink>
    </w:p>
    <w:p w:rsidR="00101E49" w:rsidRDefault="00101E49" w:rsidP="00DE15DC">
      <w:pPr>
        <w:spacing w:after="360" w:line="240" w:lineRule="auto"/>
        <w:rPr>
          <w:rFonts w:ascii="Arial" w:hAnsi="Arial" w:cs="Arial"/>
        </w:rPr>
      </w:pPr>
    </w:p>
    <w:p w:rsidR="00A06A24"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2E416C" w:rsidRPr="004668EC">
        <w:rPr>
          <w:rFonts w:ascii="Arial" w:hAnsi="Arial" w:cs="Arial"/>
          <w:sz w:val="20"/>
          <w:szCs w:val="20"/>
        </w:rPr>
        <w:t>The Oregon Revised Statutes (ORS) is the codified body of statutory law governing the State of Oregon.</w:t>
      </w:r>
      <w:r w:rsidR="001F0AE0" w:rsidRPr="004668EC">
        <w:rPr>
          <w:rFonts w:ascii="Arial" w:hAnsi="Arial" w:cs="Arial"/>
          <w:sz w:val="20"/>
          <w:szCs w:val="20"/>
        </w:rPr>
        <w:t xml:space="preserve">  </w:t>
      </w:r>
    </w:p>
    <w:p w:rsidR="00A06A24" w:rsidRPr="004668EC" w:rsidRDefault="00A06A24" w:rsidP="00101E49">
      <w:pPr>
        <w:spacing w:after="0" w:line="240" w:lineRule="auto"/>
        <w:rPr>
          <w:rFonts w:ascii="Arial" w:hAnsi="Arial" w:cs="Arial"/>
          <w:sz w:val="20"/>
          <w:szCs w:val="20"/>
        </w:rPr>
      </w:pPr>
    </w:p>
    <w:p w:rsidR="002E416C" w:rsidRPr="004668EC" w:rsidRDefault="00A06A24" w:rsidP="00101E49">
      <w:pPr>
        <w:spacing w:after="0" w:line="240" w:lineRule="auto"/>
        <w:rPr>
          <w:rFonts w:ascii="Arial" w:hAnsi="Arial" w:cs="Arial"/>
          <w:sz w:val="20"/>
          <w:szCs w:val="20"/>
        </w:rPr>
      </w:pPr>
      <w:r w:rsidRPr="004668EC">
        <w:rPr>
          <w:rFonts w:ascii="Arial" w:hAnsi="Arial" w:cs="Arial"/>
          <w:sz w:val="20"/>
          <w:szCs w:val="20"/>
        </w:rPr>
        <w:t>**</w:t>
      </w:r>
      <w:r w:rsidR="001F0AE0" w:rsidRPr="004668EC">
        <w:rPr>
          <w:rFonts w:ascii="Arial" w:hAnsi="Arial" w:cs="Arial"/>
          <w:sz w:val="20"/>
          <w:szCs w:val="20"/>
        </w:rPr>
        <w:t>Oregon’s 1995 Budget Accountability Act requires the governor, with the assistance of the Department of Revenue and the Department of Administrative Services, to produce a tax expenditure report every biennium, along with the Governor’s Budget.  Use the links above to navigate to the report and then look up the specific number associated with the exemption.  The report includes a description of the exemption, the purpose, who benefits, and provides an evaluation.</w:t>
      </w:r>
    </w:p>
    <w:p w:rsidR="002E416C" w:rsidRDefault="002E416C" w:rsidP="00101E49">
      <w:pPr>
        <w:spacing w:after="0" w:line="240" w:lineRule="auto"/>
        <w:rPr>
          <w:rFonts w:ascii="Arial" w:hAnsi="Arial" w:cs="Arial"/>
        </w:rPr>
      </w:pPr>
    </w:p>
    <w:p w:rsidR="001B09CD" w:rsidRDefault="001B09CD" w:rsidP="00101E49">
      <w:pPr>
        <w:spacing w:after="0" w:line="240" w:lineRule="auto"/>
        <w:rPr>
          <w:rFonts w:ascii="Arial" w:hAnsi="Arial" w:cs="Arial"/>
        </w:rPr>
      </w:pPr>
    </w:p>
    <w:p w:rsidR="00253BEB" w:rsidRDefault="005A5750" w:rsidP="00513F4F">
      <w:pPr>
        <w:spacing w:after="120" w:line="240" w:lineRule="auto"/>
        <w:rPr>
          <w:rFonts w:ascii="Arial" w:hAnsi="Arial" w:cs="Arial"/>
        </w:rPr>
      </w:pPr>
      <w:r>
        <w:rPr>
          <w:rFonts w:ascii="Arial" w:hAnsi="Arial" w:cs="Arial"/>
        </w:rPr>
        <w:t xml:space="preserve">The </w:t>
      </w:r>
      <w:proofErr w:type="gramStart"/>
      <w:r w:rsidR="00C878EC">
        <w:rPr>
          <w:rFonts w:ascii="Arial" w:hAnsi="Arial" w:cs="Arial"/>
        </w:rPr>
        <w:t>r</w:t>
      </w:r>
      <w:r>
        <w:rPr>
          <w:rFonts w:ascii="Arial" w:hAnsi="Arial" w:cs="Arial"/>
        </w:rPr>
        <w:t xml:space="preserve">eports </w:t>
      </w:r>
      <w:r w:rsidR="00C878EC">
        <w:rPr>
          <w:rFonts w:ascii="Arial" w:hAnsi="Arial" w:cs="Arial"/>
        </w:rPr>
        <w:t xml:space="preserve">contained herein </w:t>
      </w:r>
      <w:r>
        <w:rPr>
          <w:rFonts w:ascii="Arial" w:hAnsi="Arial" w:cs="Arial"/>
        </w:rPr>
        <w:t>are supplied by the L</w:t>
      </w:r>
      <w:r w:rsidR="007F6631">
        <w:rPr>
          <w:rFonts w:ascii="Arial" w:hAnsi="Arial" w:cs="Arial"/>
        </w:rPr>
        <w:t xml:space="preserve">ane County </w:t>
      </w:r>
      <w:r w:rsidR="00AB3211" w:rsidRPr="00AB3211">
        <w:rPr>
          <w:rFonts w:ascii="Arial" w:hAnsi="Arial" w:cs="Arial"/>
        </w:rPr>
        <w:t>Department o</w:t>
      </w:r>
      <w:r w:rsidR="00C878EC">
        <w:rPr>
          <w:rFonts w:ascii="Arial" w:hAnsi="Arial" w:cs="Arial"/>
        </w:rPr>
        <w:t>f Assessment and Taxation</w:t>
      </w:r>
      <w:r w:rsidR="00162A0B">
        <w:rPr>
          <w:rFonts w:ascii="Arial" w:hAnsi="Arial" w:cs="Arial"/>
        </w:rPr>
        <w:t xml:space="preserve"> for the 20</w:t>
      </w:r>
      <w:r w:rsidR="00CE7115">
        <w:rPr>
          <w:rFonts w:ascii="Arial" w:hAnsi="Arial" w:cs="Arial"/>
        </w:rPr>
        <w:t>2</w:t>
      </w:r>
      <w:r w:rsidR="00BD6590">
        <w:rPr>
          <w:rFonts w:ascii="Arial" w:hAnsi="Arial" w:cs="Arial"/>
        </w:rPr>
        <w:t>1</w:t>
      </w:r>
      <w:r w:rsidR="00162A0B">
        <w:rPr>
          <w:rFonts w:ascii="Arial" w:hAnsi="Arial" w:cs="Arial"/>
        </w:rPr>
        <w:t>-</w:t>
      </w:r>
      <w:r w:rsidR="001A5033">
        <w:rPr>
          <w:rFonts w:ascii="Arial" w:hAnsi="Arial" w:cs="Arial"/>
        </w:rPr>
        <w:t>2</w:t>
      </w:r>
      <w:r w:rsidR="00BD6590">
        <w:rPr>
          <w:rFonts w:ascii="Arial" w:hAnsi="Arial" w:cs="Arial"/>
        </w:rPr>
        <w:t>2</w:t>
      </w:r>
      <w:r w:rsidR="00162A0B">
        <w:rPr>
          <w:rFonts w:ascii="Arial" w:hAnsi="Arial" w:cs="Arial"/>
        </w:rPr>
        <w:t xml:space="preserve"> tax year</w:t>
      </w:r>
      <w:proofErr w:type="gramEnd"/>
      <w:r w:rsidR="00C878EC">
        <w:rPr>
          <w:rFonts w:ascii="Arial" w:hAnsi="Arial" w:cs="Arial"/>
        </w:rPr>
        <w:t>.</w:t>
      </w:r>
      <w:r w:rsidR="0004050A">
        <w:rPr>
          <w:rFonts w:ascii="Arial" w:hAnsi="Arial" w:cs="Arial"/>
        </w:rPr>
        <w:t xml:space="preserve">  The i</w:t>
      </w:r>
      <w:r w:rsidR="00513F4F">
        <w:rPr>
          <w:rFonts w:ascii="Arial" w:hAnsi="Arial" w:cs="Arial"/>
        </w:rPr>
        <w:t xml:space="preserve">nformation has not been audited, is being provided strictly as a courtesy and is delivered ‘as is’.  </w:t>
      </w:r>
      <w:r w:rsidR="00253BEB" w:rsidRPr="00AB3211">
        <w:rPr>
          <w:rFonts w:ascii="Arial" w:hAnsi="Arial" w:cs="Arial"/>
        </w:rPr>
        <w:t xml:space="preserve">The </w:t>
      </w:r>
      <w:r w:rsidR="007D1D12">
        <w:rPr>
          <w:rFonts w:ascii="Arial" w:hAnsi="Arial" w:cs="Arial"/>
        </w:rPr>
        <w:t xml:space="preserve">individual </w:t>
      </w:r>
      <w:r w:rsidR="00253BEB" w:rsidRPr="00AB3211">
        <w:rPr>
          <w:rFonts w:ascii="Arial" w:hAnsi="Arial" w:cs="Arial"/>
        </w:rPr>
        <w:t>taxing districts can be contacted for additional information.</w:t>
      </w:r>
    </w:p>
    <w:p w:rsidR="00513F4F" w:rsidRPr="00513F4F" w:rsidRDefault="00513F4F" w:rsidP="00C24B90">
      <w:pPr>
        <w:spacing w:after="0" w:line="240" w:lineRule="auto"/>
        <w:rPr>
          <w:rFonts w:ascii="Arial" w:hAnsi="Arial" w:cs="Arial"/>
          <w:i/>
          <w:sz w:val="18"/>
          <w:szCs w:val="18"/>
        </w:rPr>
      </w:pPr>
      <w:r w:rsidRPr="00513F4F">
        <w:rPr>
          <w:rFonts w:ascii="Arial" w:hAnsi="Arial" w:cs="Arial"/>
          <w:i/>
          <w:sz w:val="18"/>
          <w:szCs w:val="18"/>
        </w:rPr>
        <w:t>There are absolutely no warranties, express or implied, including the warranty of merchantability.</w:t>
      </w:r>
    </w:p>
    <w:p w:rsidR="00253BEB" w:rsidRDefault="00253BEB">
      <w:pPr>
        <w:rPr>
          <w:rFonts w:ascii="Arial" w:hAnsi="Arial" w:cs="Arial"/>
          <w:b/>
          <w:color w:val="536142" w:themeColor="accent1" w:themeShade="80"/>
          <w:sz w:val="28"/>
          <w:szCs w:val="28"/>
        </w:rPr>
      </w:pPr>
    </w:p>
    <w:p w:rsidR="00C878EC" w:rsidRDefault="00C878EC">
      <w:pPr>
        <w:rPr>
          <w:rFonts w:ascii="Arial" w:hAnsi="Arial" w:cs="Arial"/>
          <w:b/>
          <w:color w:val="536142" w:themeColor="accent1" w:themeShade="80"/>
          <w:sz w:val="28"/>
          <w:szCs w:val="28"/>
        </w:rPr>
      </w:pPr>
      <w:r>
        <w:rPr>
          <w:rFonts w:ascii="Arial" w:hAnsi="Arial" w:cs="Arial"/>
          <w:b/>
          <w:color w:val="536142" w:themeColor="accent1" w:themeShade="80"/>
          <w:sz w:val="28"/>
          <w:szCs w:val="28"/>
        </w:rPr>
        <w:br w:type="page"/>
      </w:r>
    </w:p>
    <w:p w:rsidR="00A06A24" w:rsidRPr="00973456" w:rsidRDefault="00A06A24" w:rsidP="00C25C80">
      <w:pPr>
        <w:spacing w:after="120" w:line="240" w:lineRule="auto"/>
        <w:jc w:val="center"/>
        <w:rPr>
          <w:rFonts w:ascii="Arial" w:hAnsi="Arial" w:cs="Arial"/>
          <w:b/>
          <w:color w:val="536142" w:themeColor="accent1" w:themeShade="80"/>
          <w:sz w:val="24"/>
          <w:szCs w:val="28"/>
        </w:rPr>
      </w:pPr>
      <w:r w:rsidRPr="00973456">
        <w:rPr>
          <w:rFonts w:ascii="Arial" w:hAnsi="Arial" w:cs="Arial"/>
          <w:b/>
          <w:color w:val="536142" w:themeColor="accent1" w:themeShade="80"/>
          <w:sz w:val="24"/>
          <w:szCs w:val="28"/>
        </w:rPr>
        <w:lastRenderedPageBreak/>
        <w:t>By Exemption Type</w:t>
      </w:r>
    </w:p>
    <w:p w:rsidR="00C25C80" w:rsidRPr="004668EC" w:rsidRDefault="007C4076" w:rsidP="00A06A24">
      <w:pPr>
        <w:spacing w:after="0" w:line="240" w:lineRule="auto"/>
        <w:jc w:val="center"/>
        <w:rPr>
          <w:rFonts w:ascii="Arial" w:hAnsi="Arial" w:cs="Arial"/>
          <w:b/>
          <w:color w:val="536142" w:themeColor="accent1" w:themeShade="80"/>
          <w:sz w:val="28"/>
          <w:szCs w:val="28"/>
        </w:rPr>
      </w:pPr>
      <w:r w:rsidRPr="007C4076">
        <w:rPr>
          <w:rFonts w:ascii="Arial" w:hAnsi="Arial" w:cs="Arial"/>
          <w:b/>
          <w:color w:val="536142" w:themeColor="accent1" w:themeShade="80"/>
          <w:sz w:val="28"/>
          <w:szCs w:val="28"/>
        </w:rPr>
        <w:drawing>
          <wp:inline distT="0" distB="0" distL="0" distR="0" wp14:anchorId="5FBE70D5" wp14:editId="78420F2E">
            <wp:extent cx="4390845" cy="108082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02369" cy="1108275"/>
                    </a:xfrm>
                    <a:prstGeom prst="rect">
                      <a:avLst/>
                    </a:prstGeom>
                  </pic:spPr>
                </pic:pic>
              </a:graphicData>
            </a:graphic>
          </wp:inline>
        </w:drawing>
      </w: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C878EC" w:rsidRPr="0046456B" w:rsidRDefault="00C878EC" w:rsidP="00C878EC">
      <w:pPr>
        <w:spacing w:after="0" w:line="240" w:lineRule="auto"/>
        <w:jc w:val="center"/>
        <w:rPr>
          <w:rFonts w:ascii="Arial" w:hAnsi="Arial" w:cs="Arial"/>
          <w:b/>
          <w:color w:val="536142" w:themeColor="accent1" w:themeShade="80"/>
          <w:sz w:val="16"/>
          <w:szCs w:val="16"/>
        </w:rPr>
      </w:pPr>
    </w:p>
    <w:p w:rsidR="005A5750" w:rsidRPr="00973456" w:rsidRDefault="005A5750" w:rsidP="00C25C80">
      <w:pPr>
        <w:spacing w:after="120" w:line="240" w:lineRule="auto"/>
        <w:jc w:val="center"/>
        <w:rPr>
          <w:rFonts w:ascii="Arial" w:hAnsi="Arial" w:cs="Arial"/>
          <w:b/>
          <w:color w:val="536142" w:themeColor="accent1" w:themeShade="80"/>
          <w:sz w:val="24"/>
          <w:szCs w:val="28"/>
        </w:rPr>
      </w:pPr>
      <w:r w:rsidRPr="00973456">
        <w:rPr>
          <w:rFonts w:ascii="Arial" w:hAnsi="Arial" w:cs="Arial"/>
          <w:b/>
          <w:color w:val="536142" w:themeColor="accent1" w:themeShade="80"/>
          <w:sz w:val="24"/>
          <w:szCs w:val="28"/>
        </w:rPr>
        <w:t>By Taxing District</w:t>
      </w:r>
    </w:p>
    <w:p w:rsidR="00035EF6" w:rsidRPr="004668EC" w:rsidRDefault="007C4076" w:rsidP="00C25C80">
      <w:pPr>
        <w:spacing w:after="120" w:line="240" w:lineRule="auto"/>
        <w:jc w:val="center"/>
        <w:rPr>
          <w:rFonts w:ascii="Arial" w:hAnsi="Arial" w:cs="Arial"/>
          <w:b/>
          <w:color w:val="536142" w:themeColor="accent1" w:themeShade="80"/>
          <w:sz w:val="28"/>
          <w:szCs w:val="28"/>
        </w:rPr>
      </w:pPr>
      <w:r w:rsidRPr="007C4076">
        <w:rPr>
          <w:rFonts w:ascii="Arial" w:hAnsi="Arial" w:cs="Arial"/>
          <w:b/>
          <w:color w:val="536142" w:themeColor="accent1" w:themeShade="80"/>
          <w:sz w:val="28"/>
          <w:szCs w:val="28"/>
        </w:rPr>
        <w:drawing>
          <wp:inline distT="0" distB="0" distL="0" distR="0" wp14:anchorId="205AB5C7" wp14:editId="33FCFC30">
            <wp:extent cx="4320058" cy="469276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86245" cy="4764667"/>
                    </a:xfrm>
                    <a:prstGeom prst="rect">
                      <a:avLst/>
                    </a:prstGeom>
                  </pic:spPr>
                </pic:pic>
              </a:graphicData>
            </a:graphic>
          </wp:inline>
        </w:drawing>
      </w:r>
    </w:p>
    <w:p w:rsidR="00101E49" w:rsidRPr="00D81FDF" w:rsidRDefault="00101E49" w:rsidP="00C878EC">
      <w:pPr>
        <w:spacing w:after="0" w:line="240" w:lineRule="auto"/>
        <w:jc w:val="center"/>
        <w:rPr>
          <w:rFonts w:ascii="Arial" w:hAnsi="Arial" w:cs="Arial"/>
          <w:sz w:val="14"/>
          <w:szCs w:val="19"/>
        </w:rPr>
      </w:pPr>
    </w:p>
    <w:p w:rsidR="007F6631" w:rsidRPr="00533E2B" w:rsidRDefault="005A5750" w:rsidP="00973456">
      <w:pPr>
        <w:spacing w:after="80" w:line="240" w:lineRule="auto"/>
        <w:rPr>
          <w:rFonts w:ascii="Arial" w:hAnsi="Arial" w:cs="Arial"/>
          <w:sz w:val="19"/>
          <w:szCs w:val="19"/>
        </w:rPr>
      </w:pPr>
      <w:r w:rsidRPr="00533E2B">
        <w:rPr>
          <w:rFonts w:ascii="Arial" w:hAnsi="Arial" w:cs="Arial"/>
          <w:sz w:val="19"/>
          <w:szCs w:val="19"/>
        </w:rPr>
        <w:t xml:space="preserve">Click </w:t>
      </w:r>
      <w:hyperlink r:id="rId19" w:history="1">
        <w:r w:rsidRPr="00533E2B">
          <w:rPr>
            <w:rStyle w:val="Hyperlink"/>
            <w:rFonts w:ascii="Arial" w:hAnsi="Arial" w:cs="Arial"/>
            <w:sz w:val="19"/>
            <w:szCs w:val="19"/>
          </w:rPr>
          <w:t>h</w:t>
        </w:r>
        <w:r w:rsidRPr="00533E2B">
          <w:rPr>
            <w:rStyle w:val="Hyperlink"/>
            <w:rFonts w:ascii="Arial" w:hAnsi="Arial" w:cs="Arial"/>
            <w:sz w:val="19"/>
            <w:szCs w:val="19"/>
          </w:rPr>
          <w:t>e</w:t>
        </w:r>
        <w:r w:rsidRPr="00533E2B">
          <w:rPr>
            <w:rStyle w:val="Hyperlink"/>
            <w:rFonts w:ascii="Arial" w:hAnsi="Arial" w:cs="Arial"/>
            <w:sz w:val="19"/>
            <w:szCs w:val="19"/>
          </w:rPr>
          <w:t>r</w:t>
        </w:r>
        <w:r w:rsidRPr="00533E2B">
          <w:rPr>
            <w:rStyle w:val="Hyperlink"/>
            <w:rFonts w:ascii="Arial" w:hAnsi="Arial" w:cs="Arial"/>
            <w:sz w:val="19"/>
            <w:szCs w:val="19"/>
          </w:rPr>
          <w:t>e</w:t>
        </w:r>
      </w:hyperlink>
      <w:r w:rsidRPr="00533E2B">
        <w:rPr>
          <w:rFonts w:ascii="Arial" w:hAnsi="Arial" w:cs="Arial"/>
          <w:sz w:val="19"/>
          <w:szCs w:val="19"/>
        </w:rPr>
        <w:t xml:space="preserve"> for detail</w:t>
      </w:r>
      <w:r w:rsidR="00D20AD4" w:rsidRPr="00533E2B">
        <w:rPr>
          <w:rFonts w:ascii="Arial" w:hAnsi="Arial" w:cs="Arial"/>
          <w:sz w:val="19"/>
          <w:szCs w:val="19"/>
        </w:rPr>
        <w:t>ed reports</w:t>
      </w:r>
      <w:r w:rsidRPr="00533E2B">
        <w:rPr>
          <w:rFonts w:ascii="Arial" w:hAnsi="Arial" w:cs="Arial"/>
          <w:sz w:val="19"/>
          <w:szCs w:val="19"/>
        </w:rPr>
        <w:t>.</w:t>
      </w:r>
      <w:r w:rsidR="008151B7" w:rsidRPr="00533E2B">
        <w:rPr>
          <w:rFonts w:ascii="Arial" w:hAnsi="Arial" w:cs="Arial"/>
          <w:sz w:val="19"/>
          <w:szCs w:val="19"/>
        </w:rPr>
        <w:t xml:space="preserve">  The following information applies to them:</w:t>
      </w:r>
    </w:p>
    <w:p w:rsidR="00162A0B" w:rsidRPr="00533E2B" w:rsidRDefault="00162A0B" w:rsidP="00533E2B">
      <w:pPr>
        <w:pStyle w:val="ListParagraph"/>
        <w:numPr>
          <w:ilvl w:val="0"/>
          <w:numId w:val="4"/>
        </w:numPr>
        <w:spacing w:after="40" w:line="240" w:lineRule="auto"/>
        <w:contextualSpacing w:val="0"/>
        <w:rPr>
          <w:rFonts w:ascii="Arial" w:hAnsi="Arial" w:cs="Arial"/>
          <w:sz w:val="19"/>
          <w:szCs w:val="19"/>
        </w:rPr>
      </w:pPr>
      <w:r w:rsidRPr="00533E2B">
        <w:rPr>
          <w:rFonts w:ascii="Arial" w:hAnsi="Arial" w:cs="Arial"/>
          <w:sz w:val="19"/>
          <w:szCs w:val="19"/>
        </w:rPr>
        <w:t>The DATA tab contains information by property tax account number.</w:t>
      </w:r>
    </w:p>
    <w:p w:rsidR="00162A0B" w:rsidRPr="00533E2B" w:rsidRDefault="00162A0B" w:rsidP="00533E2B">
      <w:pPr>
        <w:pStyle w:val="ListParagraph"/>
        <w:numPr>
          <w:ilvl w:val="0"/>
          <w:numId w:val="4"/>
        </w:numPr>
        <w:spacing w:after="40" w:line="240" w:lineRule="auto"/>
        <w:contextualSpacing w:val="0"/>
        <w:rPr>
          <w:rFonts w:ascii="Arial" w:hAnsi="Arial" w:cs="Arial"/>
          <w:sz w:val="19"/>
          <w:szCs w:val="19"/>
        </w:rPr>
      </w:pPr>
      <w:r w:rsidRPr="00533E2B">
        <w:rPr>
          <w:rFonts w:ascii="Arial" w:hAnsi="Arial" w:cs="Arial"/>
          <w:sz w:val="19"/>
          <w:szCs w:val="19"/>
        </w:rPr>
        <w:t xml:space="preserve">A single account affects multiple taxing districts.  </w:t>
      </w:r>
    </w:p>
    <w:p w:rsidR="00253BEB" w:rsidRPr="00533E2B" w:rsidRDefault="00253BEB" w:rsidP="00533E2B">
      <w:pPr>
        <w:pStyle w:val="ListParagraph"/>
        <w:numPr>
          <w:ilvl w:val="0"/>
          <w:numId w:val="4"/>
        </w:numPr>
        <w:spacing w:after="40" w:line="240" w:lineRule="auto"/>
        <w:contextualSpacing w:val="0"/>
        <w:rPr>
          <w:rFonts w:ascii="Arial" w:hAnsi="Arial" w:cs="Arial"/>
          <w:sz w:val="19"/>
          <w:szCs w:val="19"/>
        </w:rPr>
      </w:pPr>
      <w:r w:rsidRPr="00533E2B">
        <w:rPr>
          <w:rFonts w:ascii="Arial" w:hAnsi="Arial" w:cs="Arial"/>
          <w:sz w:val="19"/>
          <w:szCs w:val="19"/>
        </w:rPr>
        <w:t>Taxable Value equals the Assessed Value less Exemptions.</w:t>
      </w:r>
    </w:p>
    <w:p w:rsidR="00DB282A" w:rsidRPr="00533E2B" w:rsidRDefault="00D20AD4" w:rsidP="00533E2B">
      <w:pPr>
        <w:pStyle w:val="ListParagraph"/>
        <w:numPr>
          <w:ilvl w:val="0"/>
          <w:numId w:val="4"/>
        </w:numPr>
        <w:spacing w:after="40" w:line="240" w:lineRule="auto"/>
        <w:contextualSpacing w:val="0"/>
        <w:rPr>
          <w:rFonts w:ascii="Arial" w:hAnsi="Arial" w:cs="Arial"/>
          <w:sz w:val="19"/>
          <w:szCs w:val="19"/>
        </w:rPr>
      </w:pPr>
      <w:r w:rsidRPr="00533E2B">
        <w:rPr>
          <w:rFonts w:ascii="Arial" w:hAnsi="Arial" w:cs="Arial"/>
          <w:sz w:val="19"/>
          <w:szCs w:val="19"/>
        </w:rPr>
        <w:t xml:space="preserve">The </w:t>
      </w:r>
      <w:r w:rsidR="00533E2B">
        <w:rPr>
          <w:rFonts w:ascii="Arial" w:hAnsi="Arial" w:cs="Arial"/>
          <w:sz w:val="19"/>
          <w:szCs w:val="19"/>
        </w:rPr>
        <w:t>202</w:t>
      </w:r>
      <w:r w:rsidR="004D789A">
        <w:rPr>
          <w:rFonts w:ascii="Arial" w:hAnsi="Arial" w:cs="Arial"/>
          <w:sz w:val="19"/>
          <w:szCs w:val="19"/>
        </w:rPr>
        <w:t>1</w:t>
      </w:r>
      <w:r w:rsidR="00483921" w:rsidRPr="00533E2B">
        <w:rPr>
          <w:rFonts w:ascii="Arial" w:hAnsi="Arial" w:cs="Arial"/>
          <w:sz w:val="19"/>
          <w:szCs w:val="19"/>
        </w:rPr>
        <w:t>-</w:t>
      </w:r>
      <w:r w:rsidR="00235514" w:rsidRPr="00533E2B">
        <w:rPr>
          <w:rFonts w:ascii="Arial" w:hAnsi="Arial" w:cs="Arial"/>
          <w:sz w:val="19"/>
          <w:szCs w:val="19"/>
        </w:rPr>
        <w:t>2</w:t>
      </w:r>
      <w:r w:rsidR="004D789A">
        <w:rPr>
          <w:rFonts w:ascii="Arial" w:hAnsi="Arial" w:cs="Arial"/>
          <w:sz w:val="19"/>
          <w:szCs w:val="19"/>
        </w:rPr>
        <w:t>2</w:t>
      </w:r>
      <w:bookmarkStart w:id="0" w:name="_GoBack"/>
      <w:bookmarkEnd w:id="0"/>
      <w:r w:rsidR="00162A0B" w:rsidRPr="00533E2B">
        <w:rPr>
          <w:rFonts w:ascii="Arial" w:hAnsi="Arial" w:cs="Arial"/>
          <w:sz w:val="19"/>
          <w:szCs w:val="19"/>
        </w:rPr>
        <w:t xml:space="preserve"> </w:t>
      </w:r>
      <w:r w:rsidR="006221EC" w:rsidRPr="00533E2B">
        <w:rPr>
          <w:rFonts w:ascii="Arial" w:hAnsi="Arial" w:cs="Arial"/>
          <w:sz w:val="19"/>
          <w:szCs w:val="19"/>
        </w:rPr>
        <w:t>tax amounts include</w:t>
      </w:r>
      <w:r w:rsidRPr="00533E2B">
        <w:rPr>
          <w:rFonts w:ascii="Arial" w:hAnsi="Arial" w:cs="Arial"/>
          <w:sz w:val="19"/>
          <w:szCs w:val="19"/>
        </w:rPr>
        <w:t xml:space="preserve"> the compression calculation.  Compression is the process of reducing taxes extended on a property so that they fall within the limit of $5 per $1,000 of M5 value for education and $10 per $1,000 of M5 value for general governm</w:t>
      </w:r>
      <w:r w:rsidR="008151B7" w:rsidRPr="00533E2B">
        <w:rPr>
          <w:rFonts w:ascii="Arial" w:hAnsi="Arial" w:cs="Arial"/>
          <w:sz w:val="19"/>
          <w:szCs w:val="19"/>
        </w:rPr>
        <w:t xml:space="preserve">ent. </w:t>
      </w:r>
    </w:p>
    <w:p w:rsidR="00253BEB" w:rsidRPr="00533E2B" w:rsidRDefault="00253BEB" w:rsidP="00533E2B">
      <w:pPr>
        <w:pStyle w:val="ListParagraph"/>
        <w:numPr>
          <w:ilvl w:val="0"/>
          <w:numId w:val="4"/>
        </w:numPr>
        <w:spacing w:before="120" w:after="40" w:line="240" w:lineRule="auto"/>
        <w:contextualSpacing w:val="0"/>
        <w:rPr>
          <w:rFonts w:ascii="Arial" w:hAnsi="Arial" w:cs="Arial"/>
          <w:sz w:val="19"/>
          <w:szCs w:val="19"/>
        </w:rPr>
      </w:pPr>
      <w:r w:rsidRPr="00533E2B">
        <w:rPr>
          <w:rFonts w:ascii="Arial" w:hAnsi="Arial" w:cs="Arial"/>
          <w:sz w:val="19"/>
          <w:szCs w:val="19"/>
        </w:rPr>
        <w:t>The levy rates, applied to the Taxable Value, is the Base Tax.  If the Tax Limit is lower than the Base Tax, the difference is compressed.</w:t>
      </w:r>
    </w:p>
    <w:p w:rsidR="00162A0B" w:rsidRPr="00533E2B" w:rsidRDefault="00162A0B" w:rsidP="00533E2B">
      <w:pPr>
        <w:pStyle w:val="ListParagraph"/>
        <w:numPr>
          <w:ilvl w:val="0"/>
          <w:numId w:val="4"/>
        </w:numPr>
        <w:spacing w:after="40" w:line="240" w:lineRule="auto"/>
        <w:contextualSpacing w:val="0"/>
        <w:rPr>
          <w:rFonts w:ascii="Arial" w:hAnsi="Arial" w:cs="Arial"/>
          <w:sz w:val="19"/>
          <w:szCs w:val="19"/>
        </w:rPr>
      </w:pPr>
      <w:r w:rsidRPr="00533E2B">
        <w:rPr>
          <w:rFonts w:ascii="Arial" w:hAnsi="Arial" w:cs="Arial"/>
          <w:sz w:val="19"/>
          <w:szCs w:val="19"/>
        </w:rPr>
        <w:t xml:space="preserve">To calculate the taxes without the listed exemptions, the exempted value </w:t>
      </w:r>
      <w:proofErr w:type="gramStart"/>
      <w:r w:rsidRPr="00533E2B">
        <w:rPr>
          <w:rFonts w:ascii="Arial" w:hAnsi="Arial" w:cs="Arial"/>
          <w:sz w:val="19"/>
          <w:szCs w:val="19"/>
        </w:rPr>
        <w:t>was added</w:t>
      </w:r>
      <w:proofErr w:type="gramEnd"/>
      <w:r w:rsidRPr="00533E2B">
        <w:rPr>
          <w:rFonts w:ascii="Arial" w:hAnsi="Arial" w:cs="Arial"/>
          <w:sz w:val="19"/>
          <w:szCs w:val="19"/>
        </w:rPr>
        <w:t xml:space="preserve"> in to the Taxable Value.  Then the </w:t>
      </w:r>
      <w:r w:rsidR="00253BEB" w:rsidRPr="00533E2B">
        <w:rPr>
          <w:rFonts w:ascii="Arial" w:hAnsi="Arial" w:cs="Arial"/>
          <w:sz w:val="19"/>
          <w:szCs w:val="19"/>
        </w:rPr>
        <w:t xml:space="preserve">taxes </w:t>
      </w:r>
      <w:proofErr w:type="gramStart"/>
      <w:r w:rsidR="00253BEB" w:rsidRPr="00533E2B">
        <w:rPr>
          <w:rFonts w:ascii="Arial" w:hAnsi="Arial" w:cs="Arial"/>
          <w:sz w:val="19"/>
          <w:szCs w:val="19"/>
        </w:rPr>
        <w:t>were recalculated</w:t>
      </w:r>
      <w:proofErr w:type="gramEnd"/>
      <w:r w:rsidR="00253BEB" w:rsidRPr="00533E2B">
        <w:rPr>
          <w:rFonts w:ascii="Arial" w:hAnsi="Arial" w:cs="Arial"/>
          <w:sz w:val="19"/>
          <w:szCs w:val="19"/>
        </w:rPr>
        <w:t xml:space="preserve">.  </w:t>
      </w:r>
    </w:p>
    <w:p w:rsidR="008151B7" w:rsidRPr="00533E2B" w:rsidRDefault="008151B7" w:rsidP="00533E2B">
      <w:pPr>
        <w:pStyle w:val="ListParagraph"/>
        <w:numPr>
          <w:ilvl w:val="0"/>
          <w:numId w:val="4"/>
        </w:numPr>
        <w:spacing w:after="40" w:line="240" w:lineRule="auto"/>
        <w:contextualSpacing w:val="0"/>
        <w:rPr>
          <w:rFonts w:ascii="Arial" w:hAnsi="Arial" w:cs="Arial"/>
          <w:sz w:val="19"/>
          <w:szCs w:val="19"/>
        </w:rPr>
      </w:pPr>
      <w:r w:rsidRPr="00533E2B">
        <w:rPr>
          <w:rFonts w:ascii="Arial" w:hAnsi="Arial" w:cs="Arial"/>
          <w:sz w:val="19"/>
          <w:szCs w:val="19"/>
        </w:rPr>
        <w:t xml:space="preserve">To calculate the M5 value for accounts with exemptions, apply the same percent the exemption is of the assessed value to the real market value.  The difference between that and the real market value is the M5 value to which the limit is applied. </w:t>
      </w:r>
    </w:p>
    <w:sectPr w:rsidR="008151B7" w:rsidRPr="00533E2B" w:rsidSect="00973456">
      <w:pgSz w:w="12240" w:h="15840"/>
      <w:pgMar w:top="720"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16B60133"/>
    <w:multiLevelType w:val="multilevel"/>
    <w:tmpl w:val="8172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216E5"/>
    <w:multiLevelType w:val="multilevel"/>
    <w:tmpl w:val="11F8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17218"/>
    <w:multiLevelType w:val="hybridMultilevel"/>
    <w:tmpl w:val="B444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90C0A"/>
    <w:multiLevelType w:val="hybridMultilevel"/>
    <w:tmpl w:val="21D8B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6"/>
    <w:rsid w:val="00035EF6"/>
    <w:rsid w:val="0004050A"/>
    <w:rsid w:val="00082143"/>
    <w:rsid w:val="00101E49"/>
    <w:rsid w:val="00162A0B"/>
    <w:rsid w:val="001935CA"/>
    <w:rsid w:val="001A5033"/>
    <w:rsid w:val="001B09CD"/>
    <w:rsid w:val="001F0AE0"/>
    <w:rsid w:val="00204322"/>
    <w:rsid w:val="00235514"/>
    <w:rsid w:val="002467FA"/>
    <w:rsid w:val="00253BEB"/>
    <w:rsid w:val="002E416C"/>
    <w:rsid w:val="002E665B"/>
    <w:rsid w:val="003433C4"/>
    <w:rsid w:val="003D7F04"/>
    <w:rsid w:val="00421944"/>
    <w:rsid w:val="0043486B"/>
    <w:rsid w:val="004445FF"/>
    <w:rsid w:val="0046456B"/>
    <w:rsid w:val="004668EC"/>
    <w:rsid w:val="00483921"/>
    <w:rsid w:val="004D789A"/>
    <w:rsid w:val="00513F4F"/>
    <w:rsid w:val="00533E2B"/>
    <w:rsid w:val="00550436"/>
    <w:rsid w:val="005A5750"/>
    <w:rsid w:val="006221EC"/>
    <w:rsid w:val="006868B1"/>
    <w:rsid w:val="006A5A60"/>
    <w:rsid w:val="007029F1"/>
    <w:rsid w:val="0072038A"/>
    <w:rsid w:val="00724496"/>
    <w:rsid w:val="00741B68"/>
    <w:rsid w:val="007C4076"/>
    <w:rsid w:val="007D1D12"/>
    <w:rsid w:val="007F6631"/>
    <w:rsid w:val="00810548"/>
    <w:rsid w:val="008151B7"/>
    <w:rsid w:val="00871AD3"/>
    <w:rsid w:val="008D4532"/>
    <w:rsid w:val="009040E7"/>
    <w:rsid w:val="00973456"/>
    <w:rsid w:val="00985F0C"/>
    <w:rsid w:val="009B5F78"/>
    <w:rsid w:val="00A06A24"/>
    <w:rsid w:val="00A4455F"/>
    <w:rsid w:val="00A7138B"/>
    <w:rsid w:val="00A766B0"/>
    <w:rsid w:val="00AB3211"/>
    <w:rsid w:val="00AB3859"/>
    <w:rsid w:val="00AC5698"/>
    <w:rsid w:val="00BD6590"/>
    <w:rsid w:val="00BE3171"/>
    <w:rsid w:val="00C100B4"/>
    <w:rsid w:val="00C24B90"/>
    <w:rsid w:val="00C25C80"/>
    <w:rsid w:val="00C40BFC"/>
    <w:rsid w:val="00C43D2F"/>
    <w:rsid w:val="00C74BA1"/>
    <w:rsid w:val="00C878EC"/>
    <w:rsid w:val="00CE33EF"/>
    <w:rsid w:val="00CE7115"/>
    <w:rsid w:val="00D20AD4"/>
    <w:rsid w:val="00D217C7"/>
    <w:rsid w:val="00D81FDF"/>
    <w:rsid w:val="00DB282A"/>
    <w:rsid w:val="00DE15DC"/>
    <w:rsid w:val="00E9031C"/>
    <w:rsid w:val="00F30D69"/>
    <w:rsid w:val="00FC2699"/>
    <w:rsid w:val="00FC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052]"/>
    </o:shapedefaults>
    <o:shapelayout v:ext="edit">
      <o:idmap v:ext="edit" data="1"/>
    </o:shapelayout>
  </w:shapeDefaults>
  <w:decimalSymbol w:val="."/>
  <w:listSeparator w:val=","/>
  <w14:docId w14:val="0242C16E"/>
  <w15:chartTrackingRefBased/>
  <w15:docId w15:val="{0BA5BA26-1557-477B-866F-96169C13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631"/>
    <w:rPr>
      <w:color w:val="8E58B6" w:themeColor="hyperlink"/>
      <w:u w:val="single"/>
    </w:rPr>
  </w:style>
  <w:style w:type="paragraph" w:styleId="ListParagraph">
    <w:name w:val="List Paragraph"/>
    <w:basedOn w:val="Normal"/>
    <w:uiPriority w:val="34"/>
    <w:qFormat/>
    <w:rsid w:val="00D20AD4"/>
    <w:pPr>
      <w:ind w:left="720"/>
      <w:contextualSpacing/>
    </w:pPr>
  </w:style>
  <w:style w:type="character" w:styleId="FollowedHyperlink">
    <w:name w:val="FollowedHyperlink"/>
    <w:basedOn w:val="DefaultParagraphFont"/>
    <w:uiPriority w:val="99"/>
    <w:semiHidden/>
    <w:unhideWhenUsed/>
    <w:rsid w:val="00A06A24"/>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9354">
      <w:bodyDiv w:val="1"/>
      <w:marLeft w:val="0"/>
      <w:marRight w:val="0"/>
      <w:marTop w:val="0"/>
      <w:marBottom w:val="0"/>
      <w:divBdr>
        <w:top w:val="none" w:sz="0" w:space="0" w:color="auto"/>
        <w:left w:val="none" w:sz="0" w:space="0" w:color="auto"/>
        <w:bottom w:val="none" w:sz="0" w:space="0" w:color="auto"/>
        <w:right w:val="none" w:sz="0" w:space="0" w:color="auto"/>
      </w:divBdr>
    </w:div>
    <w:div w:id="1081833343">
      <w:bodyDiv w:val="1"/>
      <w:marLeft w:val="0"/>
      <w:marRight w:val="0"/>
      <w:marTop w:val="0"/>
      <w:marBottom w:val="0"/>
      <w:divBdr>
        <w:top w:val="none" w:sz="0" w:space="0" w:color="auto"/>
        <w:left w:val="none" w:sz="0" w:space="0" w:color="auto"/>
        <w:bottom w:val="none" w:sz="0" w:space="0" w:color="auto"/>
        <w:right w:val="none" w:sz="0" w:space="0" w:color="auto"/>
      </w:divBdr>
      <w:divsChild>
        <w:div w:id="1760058082">
          <w:marLeft w:val="0"/>
          <w:marRight w:val="0"/>
          <w:marTop w:val="0"/>
          <w:marBottom w:val="0"/>
          <w:divBdr>
            <w:top w:val="none" w:sz="0" w:space="0" w:color="auto"/>
            <w:left w:val="none" w:sz="0" w:space="0" w:color="auto"/>
            <w:bottom w:val="none" w:sz="0" w:space="0" w:color="auto"/>
            <w:right w:val="none" w:sz="0" w:space="0" w:color="auto"/>
          </w:divBdr>
          <w:divsChild>
            <w:div w:id="671488775">
              <w:marLeft w:val="0"/>
              <w:marRight w:val="0"/>
              <w:marTop w:val="0"/>
              <w:marBottom w:val="0"/>
              <w:divBdr>
                <w:top w:val="none" w:sz="0" w:space="0" w:color="auto"/>
                <w:left w:val="none" w:sz="0" w:space="0" w:color="auto"/>
                <w:bottom w:val="none" w:sz="0" w:space="0" w:color="auto"/>
                <w:right w:val="none" w:sz="0" w:space="0" w:color="auto"/>
              </w:divBdr>
              <w:divsChild>
                <w:div w:id="1026951043">
                  <w:marLeft w:val="0"/>
                  <w:marRight w:val="200"/>
                  <w:marTop w:val="0"/>
                  <w:marBottom w:val="0"/>
                  <w:divBdr>
                    <w:top w:val="none" w:sz="0" w:space="0" w:color="auto"/>
                    <w:left w:val="none" w:sz="0" w:space="0" w:color="auto"/>
                    <w:bottom w:val="none" w:sz="0" w:space="0" w:color="auto"/>
                    <w:right w:val="none" w:sz="0" w:space="0" w:color="auto"/>
                  </w:divBdr>
                  <w:divsChild>
                    <w:div w:id="64113491">
                      <w:marLeft w:val="0"/>
                      <w:marRight w:val="0"/>
                      <w:marTop w:val="0"/>
                      <w:marBottom w:val="375"/>
                      <w:divBdr>
                        <w:top w:val="none" w:sz="0" w:space="0" w:color="auto"/>
                        <w:left w:val="none" w:sz="0" w:space="0" w:color="auto"/>
                        <w:bottom w:val="none" w:sz="0" w:space="0" w:color="auto"/>
                        <w:right w:val="none" w:sz="0" w:space="0" w:color="auto"/>
                      </w:divBdr>
                      <w:divsChild>
                        <w:div w:id="441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1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OR/programs/gov-research/Documents/full-tax-expenditure_2017-19.pdf" TargetMode="External"/><Relationship Id="rId13" Type="http://schemas.openxmlformats.org/officeDocument/2006/relationships/hyperlink" Target="https://www.oregonlegislature.gov/bills_laws/ors/ors307.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legislature.gov/bills_laws/ors/ors285C.html" TargetMode="External"/><Relationship Id="rId12" Type="http://schemas.openxmlformats.org/officeDocument/2006/relationships/hyperlink" Target="https://www.oregon.gov/DOR/programs/gov-research/Documents/full-tax-expenditure_2017-19.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regon.gov/DOR/programs/gov-research/Documents/full-tax-expenditure_2017-1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asb.org/cs/ContentServer?c=Document_C&amp;pagename=GASB%2FDocument_C%2FGASBDocumentPage&amp;cid=1176166283745" TargetMode="External"/><Relationship Id="rId11" Type="http://schemas.openxmlformats.org/officeDocument/2006/relationships/hyperlink" Target="https://www.oregonlegislature.gov/bills_laws/ors/ors307.html" TargetMode="External"/><Relationship Id="rId5" Type="http://schemas.openxmlformats.org/officeDocument/2006/relationships/hyperlink" Target="http://gasb.org/cs/ContentServer?c=Pronouncement_C&amp;pagename=GASB%2FPronouncement_C%2FGASBSummaryPage&amp;cid=1176166392168" TargetMode="External"/><Relationship Id="rId15" Type="http://schemas.openxmlformats.org/officeDocument/2006/relationships/hyperlink" Target="https://www.oregonlegislature.gov/bills_laws/ors/ors307.html" TargetMode="External"/><Relationship Id="rId10" Type="http://schemas.openxmlformats.org/officeDocument/2006/relationships/hyperlink" Target="https://www.oregon.gov/DOR/programs/gov-research/Documents/full-tax-expenditure_2017-19.pdf" TargetMode="External"/><Relationship Id="rId19" Type="http://schemas.openxmlformats.org/officeDocument/2006/relationships/hyperlink" Target="file:///\\lc100.net\files\AT_I\Tax_Audit\GASB\2021-22\Details%20for%20Finance%20-%202022-06-06.xlsx" TargetMode="External"/><Relationship Id="rId4" Type="http://schemas.openxmlformats.org/officeDocument/2006/relationships/webSettings" Target="webSettings.xml"/><Relationship Id="rId9" Type="http://schemas.openxmlformats.org/officeDocument/2006/relationships/hyperlink" Target="https://www.oregonlegislature.gov/bills_laws/ors/ors307.html" TargetMode="External"/><Relationship Id="rId14" Type="http://schemas.openxmlformats.org/officeDocument/2006/relationships/hyperlink" Target="https://www.oregon.gov/DOR/programs/gov-research/Documents/full-tax-expenditure_2017-19.pdf"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URBATZKA Danni</dc:creator>
  <cp:keywords/>
  <dc:description/>
  <cp:lastModifiedBy>URBATZKA Danni</cp:lastModifiedBy>
  <cp:revision>4</cp:revision>
  <dcterms:created xsi:type="dcterms:W3CDTF">2022-07-19T19:00:00Z</dcterms:created>
  <dcterms:modified xsi:type="dcterms:W3CDTF">2022-07-19T19:27:00Z</dcterms:modified>
</cp:coreProperties>
</file>